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4"/>
        <w:spacing w:after="0" w:before="0" w:line="360" w:lineRule="auto"/>
        <w:ind w:hanging="0" w:left="0" w:right="30"/>
        <w:contextualSpacing w:val="false"/>
        <w:jc w:val="center"/>
      </w:pPr>
      <w:r>
        <w:rPr>
          <w:b/>
          <w:sz w:val="28"/>
        </w:rPr>
        <w:t>Ministero dell’Economia e delle Finanze</w:t>
      </w:r>
    </w:p>
    <w:p>
      <w:pPr>
        <w:pStyle w:val="style40"/>
        <w:spacing w:line="360" w:lineRule="auto"/>
      </w:pPr>
      <w:r>
        <w:rPr>
          <w:rFonts w:ascii="Arial Narrow" w:hAnsi="Arial Narrow"/>
          <w:sz w:val="16"/>
        </w:rPr>
        <w:t xml:space="preserve">DIPARTIMENTO DELL’AMMINISTRAZIONE GENERALE, DEL PERSONALE E DEI SERVIZI </w:t>
      </w:r>
    </w:p>
    <w:p>
      <w:pPr>
        <w:pStyle w:val="style0"/>
        <w:spacing w:line="360" w:lineRule="auto"/>
        <w:jc w:val="center"/>
      </w:pPr>
      <w:r>
        <w:rPr>
          <w:rFonts w:ascii="Arial Narrow" w:hAnsi="Arial Narrow"/>
          <w:sz w:val="16"/>
        </w:rPr>
        <w:t>DIREZIONE DEI SISTEMI INFORMATIVI E DELL’INNOVAZIONE</w:t>
      </w:r>
    </w:p>
    <w:p>
      <w:pPr>
        <w:pStyle w:val="style0"/>
        <w:spacing w:line="360" w:lineRule="auto"/>
        <w:jc w:val="center"/>
      </w:pPr>
      <w:r>
        <w:rPr/>
        <w:drawing>
          <wp:inline distB="0" distL="0" distR="0" distT="0">
            <wp:extent cx="1704975" cy="619125"/>
            <wp:effectExtent b="0" l="0" r="0" t="0"/>
            <wp:docPr descr="NoiPA"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NoiPA" id="0" name="Picture"/>
                    <pic:cNvPicPr>
                      <a:picLocks noChangeArrowheads="1" noChangeAspect="1"/>
                    </pic:cNvPicPr>
                  </pic:nvPicPr>
                  <pic:blipFill>
                    <a:blip r:embed="rId2"/>
                    <a:srcRect/>
                    <a:stretch>
                      <a:fillRect/>
                    </a:stretch>
                  </pic:blipFill>
                  <pic:spPr bwMode="auto">
                    <a:xfrm>
                      <a:off x="0" y="0"/>
                      <a:ext cx="1704975" cy="619125"/>
                    </a:xfrm>
                    <a:prstGeom prst="rect">
                      <a:avLst/>
                    </a:prstGeom>
                    <a:noFill/>
                    <a:ln w="9525">
                      <a:noFill/>
                      <a:miter lim="800000"/>
                      <a:headEnd/>
                      <a:tailEnd/>
                    </a:ln>
                  </pic:spPr>
                </pic:pic>
              </a:graphicData>
            </a:graphic>
          </wp:inline>
        </w:drawing>
      </w:r>
    </w:p>
    <w:p>
      <w:pPr>
        <w:pStyle w:val="style0"/>
        <w:spacing w:line="360" w:lineRule="auto"/>
        <w:ind w:hanging="2126" w:left="2835" w:right="425"/>
        <w:jc w:val="both"/>
      </w:pPr>
      <w:r>
        <w:rPr/>
      </w:r>
    </w:p>
    <w:tbl>
      <w:tblPr>
        <w:jc w:val="left"/>
        <w:tblInd w:type="dxa" w:w="-108"/>
        <w:tblBorders>
          <w:top w:color="000080" w:space="0" w:sz="4" w:val="double"/>
          <w:left w:color="000080" w:space="0" w:sz="4" w:val="double"/>
          <w:bottom w:color="000080" w:space="0" w:sz="8" w:val="single"/>
          <w:right w:color="000080" w:space="0" w:sz="8" w:val="single"/>
        </w:tblBorders>
      </w:tblPr>
      <w:tblGrid>
        <w:gridCol w:w="1395"/>
        <w:gridCol w:w="3991"/>
      </w:tblGrid>
      <w:tr>
        <w:trPr>
          <w:cantSplit w:val="false"/>
        </w:trPr>
        <w:tc>
          <w:tcPr>
            <w:tcW w:type="dxa" w:w="1395"/>
            <w:tcBorders>
              <w:top w:color="000080" w:space="0" w:sz="4" w:val="double"/>
              <w:left w:color="000080" w:space="0" w:sz="4" w:val="double"/>
              <w:bottom w:color="000080" w:space="0" w:sz="8" w:val="single"/>
              <w:right w:color="000080" w:space="0" w:sz="8" w:val="single"/>
            </w:tcBorders>
            <w:shd w:fill="FCC25A" w:val="clear"/>
            <w:tcMar>
              <w:top w:type="dxa" w:w="0"/>
              <w:left w:type="dxa" w:w="108"/>
              <w:bottom w:type="dxa" w:w="0"/>
              <w:right w:type="dxa" w:w="108"/>
            </w:tcMar>
          </w:tcPr>
          <w:p>
            <w:pPr>
              <w:pStyle w:val="style0"/>
            </w:pPr>
            <w:r>
              <w:rPr>
                <w:sz w:val="24"/>
                <w:szCs w:val="24"/>
              </w:rPr>
              <w:t>Data</w:t>
            </w:r>
          </w:p>
        </w:tc>
        <w:tc>
          <w:tcPr>
            <w:tcW w:type="dxa" w:w="3991"/>
            <w:tcBorders>
              <w:top w:color="000080" w:space="0" w:sz="4" w:val="double"/>
              <w:bottom w:color="000080" w:space="0" w:sz="8" w:val="single"/>
              <w:right w:color="000080" w:space="0" w:sz="4" w:val="double"/>
            </w:tcBorders>
            <w:shd w:fill="FFFFFF" w:val="clear"/>
            <w:tcMar>
              <w:top w:type="dxa" w:w="0"/>
              <w:left w:type="dxa" w:w="108"/>
              <w:bottom w:type="dxa" w:w="0"/>
              <w:right w:type="dxa" w:w="108"/>
            </w:tcMar>
          </w:tcPr>
          <w:p>
            <w:pPr>
              <w:pStyle w:val="style0"/>
            </w:pPr>
            <w:r>
              <w:rPr>
                <w:b/>
                <w:bCs/>
                <w:sz w:val="24"/>
                <w:szCs w:val="24"/>
              </w:rPr>
              <w:t>Roma, 27 gennaio 2014</w:t>
            </w:r>
          </w:p>
        </w:tc>
      </w:tr>
      <w:tr>
        <w:trPr>
          <w:cantSplit w:val="false"/>
        </w:trPr>
        <w:tc>
          <w:tcPr>
            <w:tcW w:type="dxa" w:w="1395"/>
            <w:tcBorders>
              <w:left w:color="000080" w:space="0" w:sz="4" w:val="double"/>
              <w:bottom w:color="000080" w:space="0" w:sz="8" w:val="single"/>
              <w:right w:color="000080" w:space="0" w:sz="8" w:val="single"/>
            </w:tcBorders>
            <w:shd w:fill="FCC25A" w:val="clear"/>
            <w:tcMar>
              <w:top w:type="dxa" w:w="0"/>
              <w:left w:type="dxa" w:w="108"/>
              <w:bottom w:type="dxa" w:w="0"/>
              <w:right w:type="dxa" w:w="108"/>
            </w:tcMar>
          </w:tcPr>
          <w:p>
            <w:pPr>
              <w:pStyle w:val="style0"/>
            </w:pPr>
            <w:r>
              <w:rPr>
                <w:sz w:val="24"/>
                <w:szCs w:val="24"/>
              </w:rPr>
              <w:t>Messaggio</w:t>
            </w:r>
          </w:p>
        </w:tc>
        <w:tc>
          <w:tcPr>
            <w:tcW w:type="dxa" w:w="3991"/>
            <w:tcBorders>
              <w:bottom w:color="000080" w:space="0" w:sz="8" w:val="single"/>
              <w:right w:color="000080" w:space="0" w:sz="4" w:val="double"/>
            </w:tcBorders>
            <w:shd w:fill="FFFFFF" w:val="clear"/>
            <w:tcMar>
              <w:top w:type="dxa" w:w="0"/>
              <w:left w:type="dxa" w:w="108"/>
              <w:bottom w:type="dxa" w:w="0"/>
              <w:right w:type="dxa" w:w="108"/>
            </w:tcMar>
          </w:tcPr>
          <w:p>
            <w:pPr>
              <w:pStyle w:val="style0"/>
            </w:pPr>
            <w:r>
              <w:rPr>
                <w:b/>
                <w:bCs/>
                <w:sz w:val="24"/>
                <w:szCs w:val="24"/>
              </w:rPr>
              <w:t>005</w:t>
            </w:r>
            <w:bookmarkStart w:id="0" w:name="_GoBack"/>
            <w:bookmarkEnd w:id="0"/>
            <w:r>
              <w:rPr>
                <w:b/>
                <w:bCs/>
                <w:sz w:val="24"/>
                <w:szCs w:val="24"/>
              </w:rPr>
              <w:t>/2014</w:t>
            </w:r>
          </w:p>
        </w:tc>
      </w:tr>
      <w:tr>
        <w:trPr>
          <w:cantSplit w:val="false"/>
        </w:trPr>
        <w:tc>
          <w:tcPr>
            <w:tcW w:type="dxa" w:w="1395"/>
            <w:tcBorders>
              <w:left w:color="000080" w:space="0" w:sz="4" w:val="double"/>
              <w:bottom w:color="000080" w:space="0" w:sz="8" w:val="single"/>
              <w:right w:color="000080" w:space="0" w:sz="8" w:val="single"/>
            </w:tcBorders>
            <w:shd w:fill="FCC25A" w:val="clear"/>
            <w:tcMar>
              <w:top w:type="dxa" w:w="0"/>
              <w:left w:type="dxa" w:w="108"/>
              <w:bottom w:type="dxa" w:w="0"/>
              <w:right w:type="dxa" w:w="108"/>
            </w:tcMar>
          </w:tcPr>
          <w:p>
            <w:pPr>
              <w:pStyle w:val="style0"/>
            </w:pPr>
            <w:r>
              <w:rPr>
                <w:sz w:val="24"/>
                <w:szCs w:val="24"/>
              </w:rPr>
              <w:t>Destinatari</w:t>
            </w:r>
          </w:p>
        </w:tc>
        <w:tc>
          <w:tcPr>
            <w:tcW w:type="dxa" w:w="3991"/>
            <w:tcBorders>
              <w:bottom w:color="000080" w:space="0" w:sz="8" w:val="single"/>
              <w:right w:color="000080" w:space="0" w:sz="4" w:val="double"/>
            </w:tcBorders>
            <w:shd w:fill="FFFFFF" w:val="clear"/>
            <w:tcMar>
              <w:top w:type="dxa" w:w="0"/>
              <w:left w:type="dxa" w:w="108"/>
              <w:bottom w:type="dxa" w:w="0"/>
              <w:right w:type="dxa" w:w="108"/>
            </w:tcMar>
          </w:tcPr>
          <w:p>
            <w:pPr>
              <w:pStyle w:val="style0"/>
            </w:pPr>
            <w:r>
              <w:rPr>
                <w:b/>
                <w:sz w:val="24"/>
                <w:szCs w:val="24"/>
              </w:rPr>
              <w:t>Utenti NoiPA</w:t>
            </w:r>
          </w:p>
        </w:tc>
      </w:tr>
      <w:tr>
        <w:trPr>
          <w:cantSplit w:val="false"/>
        </w:trPr>
        <w:tc>
          <w:tcPr>
            <w:tcW w:type="dxa" w:w="1395"/>
            <w:tcBorders>
              <w:left w:color="000080" w:space="0" w:sz="4" w:val="double"/>
              <w:bottom w:color="000080" w:space="0" w:sz="8" w:val="single"/>
              <w:right w:color="000080" w:space="0" w:sz="8" w:val="single"/>
            </w:tcBorders>
            <w:shd w:fill="FCC25A" w:val="clear"/>
            <w:tcMar>
              <w:top w:type="dxa" w:w="0"/>
              <w:left w:type="dxa" w:w="108"/>
              <w:bottom w:type="dxa" w:w="0"/>
              <w:right w:type="dxa" w:w="108"/>
            </w:tcMar>
          </w:tcPr>
          <w:p>
            <w:pPr>
              <w:pStyle w:val="style0"/>
            </w:pPr>
            <w:r>
              <w:rPr>
                <w:sz w:val="24"/>
                <w:szCs w:val="24"/>
              </w:rPr>
              <w:t>Tipo</w:t>
            </w:r>
          </w:p>
        </w:tc>
        <w:tc>
          <w:tcPr>
            <w:tcW w:type="dxa" w:w="3991"/>
            <w:tcBorders>
              <w:bottom w:color="000080" w:space="0" w:sz="8" w:val="single"/>
              <w:right w:color="000080" w:space="0" w:sz="4" w:val="double"/>
            </w:tcBorders>
            <w:shd w:fill="FFFFFF" w:val="clear"/>
            <w:tcMar>
              <w:top w:type="dxa" w:w="0"/>
              <w:left w:type="dxa" w:w="108"/>
              <w:bottom w:type="dxa" w:w="0"/>
              <w:right w:type="dxa" w:w="108"/>
            </w:tcMar>
          </w:tcPr>
          <w:p>
            <w:pPr>
              <w:pStyle w:val="style0"/>
            </w:pPr>
            <w:r>
              <w:rPr>
                <w:b/>
                <w:sz w:val="24"/>
                <w:szCs w:val="24"/>
              </w:rPr>
              <w:t>Messaggio</w:t>
            </w:r>
          </w:p>
        </w:tc>
      </w:tr>
      <w:tr>
        <w:trPr>
          <w:cantSplit w:val="false"/>
        </w:trPr>
        <w:tc>
          <w:tcPr>
            <w:tcW w:type="dxa" w:w="1395"/>
            <w:tcBorders>
              <w:left w:color="000080" w:space="0" w:sz="4" w:val="double"/>
              <w:bottom w:color="000080" w:space="0" w:sz="4" w:val="double"/>
              <w:right w:color="000080" w:space="0" w:sz="8" w:val="single"/>
            </w:tcBorders>
            <w:shd w:fill="FCC25A" w:val="clear"/>
            <w:tcMar>
              <w:top w:type="dxa" w:w="0"/>
              <w:left w:type="dxa" w:w="108"/>
              <w:bottom w:type="dxa" w:w="0"/>
              <w:right w:type="dxa" w:w="108"/>
            </w:tcMar>
          </w:tcPr>
          <w:p>
            <w:pPr>
              <w:pStyle w:val="style0"/>
            </w:pPr>
            <w:r>
              <w:rPr>
                <w:sz w:val="24"/>
                <w:szCs w:val="24"/>
              </w:rPr>
              <w:t>Area</w:t>
            </w:r>
          </w:p>
        </w:tc>
        <w:tc>
          <w:tcPr>
            <w:tcW w:type="dxa" w:w="3991"/>
            <w:tcBorders>
              <w:bottom w:color="000080" w:space="0" w:sz="4" w:val="double"/>
              <w:right w:color="000080" w:space="0" w:sz="4" w:val="double"/>
            </w:tcBorders>
            <w:shd w:fill="FFFFFF" w:val="clear"/>
            <w:tcMar>
              <w:top w:type="dxa" w:w="0"/>
              <w:left w:type="dxa" w:w="108"/>
              <w:bottom w:type="dxa" w:w="0"/>
              <w:right w:type="dxa" w:w="108"/>
            </w:tcMar>
          </w:tcPr>
          <w:p>
            <w:pPr>
              <w:pStyle w:val="style0"/>
            </w:pPr>
            <w:r>
              <w:rPr>
                <w:b/>
                <w:sz w:val="24"/>
                <w:szCs w:val="24"/>
              </w:rPr>
              <w:t>NoiPA</w:t>
            </w:r>
          </w:p>
        </w:tc>
      </w:tr>
    </w:tbl>
    <w:p>
      <w:pPr>
        <w:pStyle w:val="style0"/>
        <w:ind w:hanging="2126" w:left="6804" w:right="425"/>
        <w:jc w:val="right"/>
      </w:pPr>
      <w:r>
        <w:rPr/>
      </w:r>
    </w:p>
    <w:p>
      <w:pPr>
        <w:pStyle w:val="style0"/>
        <w:ind w:hanging="2126" w:left="6804" w:right="425"/>
        <w:jc w:val="right"/>
      </w:pPr>
      <w:r>
        <w:rPr/>
      </w:r>
    </w:p>
    <w:p>
      <w:pPr>
        <w:pStyle w:val="style0"/>
        <w:ind w:hanging="2126" w:left="6804" w:right="425"/>
        <w:jc w:val="right"/>
      </w:pPr>
      <w:r>
        <w:rPr/>
      </w:r>
    </w:p>
    <w:p>
      <w:pPr>
        <w:pStyle w:val="style0"/>
        <w:ind w:hanging="2126" w:left="6804" w:right="425"/>
        <w:jc w:val="right"/>
      </w:pPr>
      <w:r>
        <w:rPr/>
      </w:r>
    </w:p>
    <w:p>
      <w:pPr>
        <w:pStyle w:val="style0"/>
        <w:spacing w:line="360" w:lineRule="auto"/>
        <w:jc w:val="both"/>
      </w:pPr>
      <w:r>
        <w:rPr>
          <w:sz w:val="24"/>
          <w:szCs w:val="24"/>
        </w:rPr>
        <w:t>OGGETTO: disposizioni temporanee e urgenti in materia di proroga degli automatismi stipendiali del personale della scuola.</w:t>
      </w:r>
    </w:p>
    <w:p>
      <w:pPr>
        <w:pStyle w:val="style0"/>
        <w:spacing w:line="360" w:lineRule="auto"/>
        <w:jc w:val="both"/>
      </w:pPr>
      <w:r>
        <w:rPr/>
      </w:r>
    </w:p>
    <w:p>
      <w:pPr>
        <w:pStyle w:val="style0"/>
        <w:spacing w:line="360" w:lineRule="auto"/>
        <w:ind w:firstLine="708" w:left="0" w:right="0"/>
        <w:jc w:val="both"/>
      </w:pPr>
      <w:r>
        <w:rPr>
          <w:sz w:val="24"/>
          <w:szCs w:val="24"/>
        </w:rPr>
        <w:t>Si riepilogano di seguito gli interventi effettuati e in corso di attuazione nel sistema NoiPA nei confronti del personale della scuola, in materia di automatismi stipendiali.</w:t>
      </w:r>
    </w:p>
    <w:p>
      <w:pPr>
        <w:pStyle w:val="style0"/>
        <w:spacing w:line="360" w:lineRule="auto"/>
        <w:ind w:firstLine="708" w:left="0" w:right="0"/>
        <w:jc w:val="both"/>
      </w:pPr>
      <w:r>
        <w:rPr>
          <w:sz w:val="24"/>
          <w:szCs w:val="24"/>
        </w:rPr>
        <w:t>Nelle more della conclusione della sessione negoziale Comparto Scuola, per il recupero delle utilità dell’anno 2012, al fine della maturazione delle posizioni stipendiali e dei relativi incrementi economici, è stata disposta la sospensione cautelativa dei crediti erariali applicati in relazione al blocco degli automatismi stipendiali per l’anno 2013.</w:t>
      </w:r>
    </w:p>
    <w:p>
      <w:pPr>
        <w:pStyle w:val="style0"/>
        <w:spacing w:line="360" w:lineRule="auto"/>
        <w:ind w:firstLine="708" w:left="0" w:right="0"/>
        <w:jc w:val="both"/>
      </w:pPr>
      <w:r>
        <w:rPr>
          <w:sz w:val="24"/>
          <w:szCs w:val="24"/>
        </w:rPr>
        <w:t>Per quanto riguarda gli stipendi di gennaio, già emessi come da messaggio n. 157 del 27 dicembre 2013, il rimborso del debito è stato effettuato con emissione straordinaria con esigibilità contestuale a quella dello stipendio ordinario.</w:t>
      </w:r>
    </w:p>
    <w:p>
      <w:pPr>
        <w:pStyle w:val="style0"/>
        <w:spacing w:line="360" w:lineRule="auto"/>
        <w:ind w:firstLine="708" w:left="0" w:right="0"/>
        <w:jc w:val="both"/>
      </w:pPr>
      <w:r>
        <w:rPr>
          <w:sz w:val="24"/>
          <w:szCs w:val="24"/>
        </w:rPr>
        <w:t>Nello stesso tempo si è provveduto alla sospensione del credito erariale eventualmente rateizzato sulle successive mensilità.</w:t>
      </w:r>
    </w:p>
    <w:p>
      <w:pPr>
        <w:pStyle w:val="style0"/>
        <w:spacing w:line="360" w:lineRule="auto"/>
        <w:ind w:firstLine="708" w:left="0" w:right="0"/>
        <w:jc w:val="both"/>
      </w:pPr>
      <w:r>
        <w:rPr>
          <w:sz w:val="24"/>
          <w:szCs w:val="24"/>
        </w:rPr>
        <w:t>In applicazione del D.L. n. 3, del 23 gennaio 2014, al personale interessato al riconoscimento dell’utilità dell’anno 2012, sempre nelle more della conclusione della relativa sessione negoziale, è stata ripristinata la posizione stipendiale superiore già attribuita nel 2013, ma successivamente retrocessa sulla mensilità di gennaio 2014.</w:t>
      </w:r>
    </w:p>
    <w:p>
      <w:pPr>
        <w:pStyle w:val="style0"/>
        <w:spacing w:line="360" w:lineRule="auto"/>
        <w:ind w:firstLine="708" w:left="0" w:right="0"/>
        <w:jc w:val="both"/>
      </w:pPr>
      <w:r>
        <w:rPr>
          <w:sz w:val="24"/>
          <w:szCs w:val="24"/>
        </w:rPr>
        <w:t>L’importo di arretrato relativo alla mensilità di gennaio 2014 è stato registrato con il codice “4M2 - APPL. DL 3/2014 COMPARTO SCUOLA AC” e verrà liquidato con esigibilità entro la metà di febbraio.</w:t>
      </w:r>
    </w:p>
    <w:p>
      <w:pPr>
        <w:pStyle w:val="style0"/>
        <w:spacing w:line="360" w:lineRule="auto"/>
        <w:ind w:firstLine="708" w:left="0" w:right="0"/>
        <w:jc w:val="both"/>
      </w:pPr>
      <w:r>
        <w:rPr>
          <w:sz w:val="24"/>
          <w:szCs w:val="24"/>
        </w:rPr>
        <w:t>Considerato che rimane fermo quanto previsto dall’articolo 1, comma 1, lettera b) del D.P.R. 122/2013, è confermata la proroga di un anno delle classi e degli scatti con decorrenza dal 2 gennaio 2014.</w:t>
      </w:r>
    </w:p>
    <w:p>
      <w:pPr>
        <w:pStyle w:val="style0"/>
        <w:spacing w:line="360" w:lineRule="auto"/>
        <w:ind w:firstLine="708" w:left="0" w:right="0"/>
        <w:jc w:val="both"/>
      </w:pPr>
      <w:r>
        <w:rPr>
          <w:sz w:val="24"/>
          <w:szCs w:val="24"/>
        </w:rPr>
        <w:t xml:space="preserve">In attesa del supporto richiesto al MIUR per la regolarizzazione del personale non interessato al riconoscimento dell’utilità dell’anno 2012, e per il quale, pertanto,  si applica la retrocessione alla classe inferiore a quella già attribuita nel 2013, rimane  ferma, al momento, la sospensione del recupero dei pagamenti già effettuati dal 1° gennaio 2013. </w:t>
      </w:r>
    </w:p>
    <w:p>
      <w:pPr>
        <w:pStyle w:val="style0"/>
        <w:spacing w:line="360" w:lineRule="auto"/>
        <w:ind w:firstLine="708" w:left="0" w:right="0"/>
        <w:jc w:val="both"/>
      </w:pPr>
      <w:r>
        <w:rPr>
          <w:sz w:val="24"/>
          <w:szCs w:val="24"/>
        </w:rPr>
        <w:t>Per avere evidenza nel sistema NoiPA delle posizioni stipendiali interessate agli interventi sopra descritti in applicazione del D.L. 3/2014, nella maschera iniziale dell’iscrizione visualizzabile da “Gestione Stipendi”, è stato inserito il seguente avviso: “</w:t>
      </w:r>
      <w:r>
        <w:rPr>
          <w:i/>
          <w:sz w:val="24"/>
          <w:szCs w:val="24"/>
        </w:rPr>
        <w:t>Iscrizione con applicazione D.L. 3/2014</w:t>
      </w:r>
      <w:r>
        <w:rPr>
          <w:sz w:val="24"/>
          <w:szCs w:val="24"/>
        </w:rPr>
        <w:t xml:space="preserve">”. </w:t>
      </w:r>
    </w:p>
    <w:p>
      <w:pPr>
        <w:pStyle w:val="style0"/>
        <w:spacing w:line="360" w:lineRule="auto"/>
        <w:jc w:val="both"/>
      </w:pPr>
      <w:r>
        <w:rPr>
          <w:sz w:val="24"/>
          <w:szCs w:val="24"/>
        </w:rPr>
        <w:t xml:space="preserve">Dalla casella di posta elettronica </w:t>
      </w:r>
      <w:hyperlink r:id="rId3">
        <w:r>
          <w:rPr>
            <w:rStyle w:val="style17"/>
            <w:rStyle w:val="style17"/>
            <w:sz w:val="24"/>
            <w:szCs w:val="24"/>
          </w:rPr>
          <w:t>Uff5DCSIIDAG@tesoro.it</w:t>
        </w:r>
      </w:hyperlink>
      <w:r>
        <w:rPr>
          <w:sz w:val="24"/>
          <w:szCs w:val="24"/>
        </w:rPr>
        <w:t xml:space="preserve"> verrà inviato l’elenco del personale interessato.</w:t>
      </w:r>
    </w:p>
    <w:p>
      <w:pPr>
        <w:pStyle w:val="style0"/>
        <w:spacing w:line="360" w:lineRule="auto"/>
        <w:ind w:firstLine="708" w:left="0" w:right="0"/>
        <w:jc w:val="both"/>
      </w:pPr>
      <w:r>
        <w:rPr>
          <w:sz w:val="24"/>
          <w:szCs w:val="24"/>
        </w:rPr>
        <w:t>In questi casi, nelle more della conclusione della sessione negoziale per l’anno 2012 e conseguente intervento centralizzato, si chiede a codeste Ragionerie di non effettuare lavorazioni di ricostruzione di carriera.</w:t>
      </w:r>
    </w:p>
    <w:p>
      <w:pPr>
        <w:pStyle w:val="style0"/>
        <w:spacing w:line="360" w:lineRule="auto"/>
        <w:ind w:firstLine="708" w:left="0" w:right="0"/>
        <w:jc w:val="both"/>
      </w:pPr>
      <w:r>
        <w:rPr>
          <w:sz w:val="24"/>
          <w:szCs w:val="24"/>
        </w:rPr>
        <w:t>Si fa presente inoltre che, in analogia alle modalità operative sopra descritte, codeste Ragionerie dovranno gestire le posizioni stipendiali che sono state escluse dall’intervento centralizzato di proroga al 31 dicembre 2013 del blocco degli automatismi stipendiali.</w:t>
      </w:r>
    </w:p>
    <w:p>
      <w:pPr>
        <w:pStyle w:val="style0"/>
        <w:spacing w:line="360" w:lineRule="auto"/>
        <w:jc w:val="both"/>
      </w:pPr>
      <w:r>
        <w:rPr>
          <w:sz w:val="24"/>
          <w:szCs w:val="24"/>
        </w:rPr>
        <w:t xml:space="preserve">Anche per tali fattispecie, descritte nei messaggi operativi n. 58/2013 del 16 aprile 2013 in riferimento all’applicazione del CCNL del 13 marzo 2013 (sblocco anno 2011) e n. 157/2013 del 27 dicembre 2013 (blocco anno 2013), verrà inviato dalla casella di posta elettronica </w:t>
      </w:r>
      <w:hyperlink r:id="rId4">
        <w:r>
          <w:rPr>
            <w:rStyle w:val="style17"/>
            <w:rStyle w:val="style17"/>
            <w:sz w:val="24"/>
            <w:szCs w:val="24"/>
          </w:rPr>
          <w:t>Uff5DCSIIDAG@tesoro.it</w:t>
        </w:r>
      </w:hyperlink>
      <w:r>
        <w:rPr>
          <w:sz w:val="24"/>
          <w:szCs w:val="24"/>
        </w:rPr>
        <w:t xml:space="preserve"> l’elenco del personale interessato.</w:t>
      </w:r>
    </w:p>
    <w:p>
      <w:pPr>
        <w:pStyle w:val="style0"/>
        <w:spacing w:line="360" w:lineRule="auto"/>
      </w:pPr>
      <w:r>
        <w:rPr/>
      </w:r>
    </w:p>
    <w:p>
      <w:pPr>
        <w:pStyle w:val="style0"/>
      </w:pPr>
      <w:r>
        <w:rPr/>
      </w:r>
    </w:p>
    <w:p>
      <w:pPr>
        <w:pStyle w:val="style52"/>
        <w:spacing w:line="360" w:lineRule="auto"/>
        <w:ind w:hanging="0" w:left="1080" w:right="0"/>
        <w:jc w:val="both"/>
      </w:pPr>
      <w:r>
        <w:rPr/>
      </w:r>
    </w:p>
    <w:p>
      <w:pPr>
        <w:pStyle w:val="style52"/>
        <w:ind w:hanging="0" w:left="5245" w:right="0"/>
        <w:jc w:val="center"/>
      </w:pPr>
      <w:r>
        <w:rPr>
          <w:rStyle w:val="style25"/>
          <w:i w:val="false"/>
          <w:sz w:val="24"/>
          <w:szCs w:val="24"/>
        </w:rPr>
        <w:t>Il DIRIGENTE</w:t>
      </w:r>
    </w:p>
    <w:p>
      <w:pPr>
        <w:pStyle w:val="style52"/>
        <w:ind w:hanging="0" w:left="5245" w:right="0"/>
        <w:jc w:val="center"/>
      </w:pPr>
      <w:r>
        <w:rPr>
          <w:rStyle w:val="style25"/>
          <w:i w:val="false"/>
          <w:sz w:val="24"/>
          <w:szCs w:val="24"/>
        </w:rPr>
        <w:t>Roberta LOTTI</w:t>
      </w:r>
    </w:p>
    <w:sectPr>
      <w:footerReference r:id="rId5" w:type="default"/>
      <w:type w:val="nextPage"/>
      <w:pgSz w:h="16838" w:w="11906"/>
      <w:pgMar w:bottom="1079" w:footer="720" w:gutter="0" w:header="0" w:left="992" w:right="1134" w:top="1077"/>
      <w:pgNumType w:fmt="decimal"/>
      <w:formProt w:val="false"/>
      <w:textDirection w:val="lrTb"/>
      <w:docGrid w:charSpace="16384" w:linePitch="28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pPr>
    <w:r>
      <w:rPr/>
      <w:fldChar w:fldCharType="begin"/>
    </w:r>
    <w:r>
      <w:instrText> PAGE </w:instrText>
    </w:r>
    <w:r>
      <w:fldChar w:fldCharType="separate"/>
    </w:r>
    <w:r>
      <w:t>2</w:t>
    </w:r>
    <w:r>
      <w:fldChar w:fldCharType="end"/>
    </w:r>
  </w:p>
  <w:p>
    <w:pPr>
      <w:pStyle w:val="style0"/>
    </w:pPr>
    <w:r>
      <w:rPr/>
      <w:fldChar w:fldCharType="begin"/>
    </w:r>
    <w:r>
      <w:instrText> PAGE </w:instrText>
    </w:r>
    <w:r>
      <w:fldChar w:fldCharType="separate"/>
    </w:r>
    <w:r>
      <w:t>2</w:t>
    </w:r>
    <w:r>
      <w:fldChar w:fldCharType="end"/>
    </w:r>
  </w:p>
  <w:p>
    <w:pPr>
      <w:pStyle w:val="style45"/>
      <w:ind w:hanging="0" w:left="0" w:right="360"/>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Predefinito"/>
    <w:next w:val="style0"/>
    <w:pPr>
      <w:widowControl/>
      <w:tabs/>
      <w:suppressAutoHyphens w:val="true"/>
    </w:pPr>
    <w:rPr>
      <w:rFonts w:ascii="Times New Roman" w:cs="Times New Roman" w:eastAsia="Times New Roman" w:hAnsi="Times New Roman"/>
      <w:color w:val="00000A"/>
      <w:sz w:val="20"/>
      <w:szCs w:val="20"/>
      <w:lang w:bidi="ar-SA" w:eastAsia="it-IT" w:val="it-IT"/>
    </w:rPr>
  </w:style>
  <w:style w:styleId="style6" w:type="paragraph">
    <w:name w:val="Intestazione 6"/>
    <w:basedOn w:val="style0"/>
    <w:next w:val="style40"/>
    <w:pPr>
      <w:keepNext/>
      <w:numPr>
        <w:ilvl w:val="5"/>
        <w:numId w:val="1"/>
      </w:numPr>
      <w:spacing w:after="240" w:before="240"/>
      <w:ind w:hanging="2552" w:left="5812" w:right="0"/>
      <w:contextualSpacing w:val="false"/>
      <w:jc w:val="both"/>
      <w:outlineLvl w:val="5"/>
    </w:pPr>
    <w:rPr>
      <w:b/>
      <w:bCs/>
      <w:sz w:val="28"/>
      <w:szCs w:val="15"/>
    </w:rPr>
  </w:style>
  <w:style w:styleId="style15" w:type="character">
    <w:name w:val="Default Paragraph Font"/>
    <w:next w:val="style15"/>
    <w:rPr/>
  </w:style>
  <w:style w:styleId="style16" w:type="character">
    <w:name w:val="page number"/>
    <w:basedOn w:val="style15"/>
    <w:next w:val="style16"/>
    <w:rPr/>
  </w:style>
  <w:style w:styleId="style17" w:type="character">
    <w:name w:val="Collegamento Internet"/>
    <w:next w:val="style17"/>
    <w:rPr>
      <w:color w:val="457FAF"/>
      <w:u w:val="single"/>
      <w:lang w:bidi="it-IT" w:eastAsia="it-IT" w:val="it-IT"/>
    </w:rPr>
  </w:style>
  <w:style w:styleId="style18" w:type="character">
    <w:name w:val="rvts10"/>
    <w:next w:val="style18"/>
    <w:rPr>
      <w:rFonts w:ascii="Verdana" w:hAnsi="Verdana"/>
    </w:rPr>
  </w:style>
  <w:style w:styleId="style19" w:type="character">
    <w:name w:val="rvts11"/>
    <w:next w:val="style19"/>
    <w:rPr>
      <w:rFonts w:ascii="Verdana" w:hAnsi="Verdana"/>
      <w:b/>
      <w:bCs/>
      <w:i/>
      <w:iCs/>
    </w:rPr>
  </w:style>
  <w:style w:styleId="style20" w:type="character">
    <w:name w:val="rvts62"/>
    <w:next w:val="style20"/>
    <w:rPr>
      <w:rFonts w:ascii="Verdana" w:hAnsi="Verdana"/>
    </w:rPr>
  </w:style>
  <w:style w:styleId="style21" w:type="character">
    <w:name w:val="rvts12"/>
    <w:next w:val="style21"/>
    <w:rPr>
      <w:rFonts w:ascii="Verdana" w:hAnsi="Verdana"/>
    </w:rPr>
  </w:style>
  <w:style w:styleId="style22" w:type="character">
    <w:name w:val="HTML Acronym"/>
    <w:basedOn w:val="style15"/>
    <w:next w:val="style22"/>
    <w:rPr/>
  </w:style>
  <w:style w:styleId="style23" w:type="character">
    <w:name w:val="Enfasi forte"/>
    <w:next w:val="style23"/>
    <w:rPr>
      <w:b/>
      <w:bCs/>
    </w:rPr>
  </w:style>
  <w:style w:styleId="style24" w:type="character">
    <w:name w:val="Corpo testo Carattere"/>
    <w:basedOn w:val="style15"/>
    <w:next w:val="style24"/>
    <w:rPr/>
  </w:style>
  <w:style w:styleId="style25" w:type="character">
    <w:name w:val="link_nel_testo"/>
    <w:next w:val="style25"/>
    <w:rPr>
      <w:i/>
      <w:iCs/>
    </w:rPr>
  </w:style>
  <w:style w:styleId="style26" w:type="character">
    <w:name w:val="Testo normale Carattere"/>
    <w:next w:val="style26"/>
    <w:rPr>
      <w:rFonts w:ascii="Consolas" w:cs="Times New Roman" w:eastAsia="Calibri" w:hAnsi="Consolas"/>
      <w:sz w:val="21"/>
      <w:szCs w:val="21"/>
      <w:lang w:eastAsia="en-US"/>
    </w:rPr>
  </w:style>
  <w:style w:styleId="style27" w:type="character">
    <w:name w:val="apple-converted-space"/>
    <w:next w:val="style27"/>
    <w:rPr/>
  </w:style>
  <w:style w:styleId="style28" w:type="character">
    <w:name w:val="ListLabel 1"/>
    <w:next w:val="style28"/>
    <w:rPr>
      <w:rFonts w:cs="Times New Roman"/>
      <w:color w:val="00000A"/>
    </w:rPr>
  </w:style>
  <w:style w:styleId="style29" w:type="character">
    <w:name w:val="ListLabel 2"/>
    <w:next w:val="style29"/>
    <w:rPr>
      <w:rFonts w:cs="Courier New"/>
    </w:rPr>
  </w:style>
  <w:style w:styleId="style30" w:type="character">
    <w:name w:val="ListLabel 3"/>
    <w:next w:val="style30"/>
    <w:rPr>
      <w:sz w:val="20"/>
    </w:rPr>
  </w:style>
  <w:style w:styleId="style31" w:type="character">
    <w:name w:val="ListLabel 4"/>
    <w:next w:val="style31"/>
    <w:rPr>
      <w:b/>
    </w:rPr>
  </w:style>
  <w:style w:styleId="style32" w:type="character">
    <w:name w:val="ListLabel 5"/>
    <w:next w:val="style32"/>
    <w:rPr>
      <w:b/>
      <w:i w:val="false"/>
    </w:rPr>
  </w:style>
  <w:style w:styleId="style33" w:type="character">
    <w:name w:val="ListLabel 6"/>
    <w:next w:val="style33"/>
    <w:rPr>
      <w:b/>
      <w:sz w:val="16"/>
    </w:rPr>
  </w:style>
  <w:style w:styleId="style34" w:type="character">
    <w:name w:val="ListLabel 7"/>
    <w:next w:val="style34"/>
    <w:rPr>
      <w:b/>
      <w:i w:val="false"/>
      <w:sz w:val="20"/>
    </w:rPr>
  </w:style>
  <w:style w:styleId="style35" w:type="character">
    <w:name w:val="ListLabel 8"/>
    <w:next w:val="style35"/>
    <w:rPr>
      <w:b/>
      <w:i w:val="false"/>
      <w:color w:val="00000A"/>
      <w:sz w:val="20"/>
    </w:rPr>
  </w:style>
  <w:style w:styleId="style36" w:type="character">
    <w:name w:val="ListLabel 9"/>
    <w:next w:val="style36"/>
    <w:rPr>
      <w:rFonts w:cs="Times New Roman" w:eastAsia="Times New Roman"/>
    </w:rPr>
  </w:style>
  <w:style w:styleId="style37" w:type="character">
    <w:name w:val="ListLabel 10"/>
    <w:next w:val="style37"/>
    <w:rPr>
      <w:i w:val="false"/>
    </w:rPr>
  </w:style>
  <w:style w:styleId="style38" w:type="character">
    <w:name w:val="ListLabel 11"/>
    <w:next w:val="style38"/>
    <w:rPr>
      <w:color w:val="00000A"/>
    </w:rPr>
  </w:style>
  <w:style w:styleId="style39" w:type="paragraph">
    <w:name w:val="Intestazione"/>
    <w:basedOn w:val="style0"/>
    <w:next w:val="style40"/>
    <w:pPr>
      <w:keepNext/>
      <w:spacing w:after="120" w:before="240"/>
      <w:contextualSpacing w:val="false"/>
    </w:pPr>
    <w:rPr>
      <w:rFonts w:ascii="Arial" w:cs="Mangal" w:eastAsia="Microsoft YaHei" w:hAnsi="Arial"/>
      <w:sz w:val="28"/>
      <w:szCs w:val="28"/>
    </w:rPr>
  </w:style>
  <w:style w:styleId="style40" w:type="paragraph">
    <w:name w:val="Corpo testo"/>
    <w:basedOn w:val="style0"/>
    <w:next w:val="style40"/>
    <w:pPr>
      <w:spacing w:after="120" w:before="0"/>
      <w:contextualSpacing w:val="false"/>
      <w:jc w:val="center"/>
    </w:pPr>
    <w:rPr/>
  </w:style>
  <w:style w:styleId="style41" w:type="paragraph">
    <w:name w:val="Elenco"/>
    <w:basedOn w:val="style40"/>
    <w:next w:val="style41"/>
    <w:pPr/>
    <w:rPr>
      <w:rFonts w:cs="Mangal"/>
    </w:rPr>
  </w:style>
  <w:style w:styleId="style42" w:type="paragraph">
    <w:name w:val="Didascalia"/>
    <w:basedOn w:val="style0"/>
    <w:next w:val="style42"/>
    <w:pPr>
      <w:suppressLineNumbers/>
      <w:spacing w:after="120" w:before="120"/>
      <w:contextualSpacing w:val="false"/>
    </w:pPr>
    <w:rPr>
      <w:rFonts w:cs="Mangal"/>
      <w:i/>
      <w:iCs/>
      <w:sz w:val="24"/>
      <w:szCs w:val="24"/>
    </w:rPr>
  </w:style>
  <w:style w:styleId="style43" w:type="paragraph">
    <w:name w:val="Indice"/>
    <w:basedOn w:val="style0"/>
    <w:next w:val="style43"/>
    <w:pPr>
      <w:suppressLineNumbers/>
    </w:pPr>
    <w:rPr>
      <w:rFonts w:cs="Mangal"/>
    </w:rPr>
  </w:style>
  <w:style w:styleId="style44" w:type="paragraph">
    <w:name w:val="BodyTable"/>
    <w:basedOn w:val="style0"/>
    <w:next w:val="style44"/>
    <w:pPr>
      <w:spacing w:after="0" w:before="115"/>
      <w:contextualSpacing w:val="false"/>
    </w:pPr>
    <w:rPr/>
  </w:style>
  <w:style w:styleId="style45" w:type="paragraph">
    <w:name w:val="Piè di pagina"/>
    <w:basedOn w:val="style0"/>
    <w:next w:val="style45"/>
    <w:pPr>
      <w:suppressLineNumbers/>
      <w:tabs>
        <w:tab w:leader="none" w:pos="4819" w:val="center"/>
        <w:tab w:leader="none" w:pos="9638" w:val="right"/>
      </w:tabs>
    </w:pPr>
    <w:rPr/>
  </w:style>
  <w:style w:styleId="style46" w:type="paragraph">
    <w:name w:val="rvps2"/>
    <w:basedOn w:val="style0"/>
    <w:next w:val="style46"/>
    <w:pPr>
      <w:spacing w:after="60" w:before="0" w:line="300" w:lineRule="atLeast"/>
      <w:contextualSpacing w:val="false"/>
      <w:jc w:val="both"/>
    </w:pPr>
    <w:rPr>
      <w:sz w:val="24"/>
      <w:szCs w:val="24"/>
    </w:rPr>
  </w:style>
  <w:style w:styleId="style47" w:type="paragraph">
    <w:name w:val="rvps3"/>
    <w:basedOn w:val="style0"/>
    <w:next w:val="style47"/>
    <w:pPr>
      <w:spacing w:after="60" w:before="0" w:line="300" w:lineRule="atLeast"/>
      <w:contextualSpacing w:val="false"/>
      <w:jc w:val="both"/>
    </w:pPr>
    <w:rPr>
      <w:sz w:val="24"/>
      <w:szCs w:val="24"/>
    </w:rPr>
  </w:style>
  <w:style w:styleId="style48" w:type="paragraph">
    <w:name w:val="Normal (Web)"/>
    <w:basedOn w:val="style0"/>
    <w:next w:val="style48"/>
    <w:pPr/>
    <w:rPr>
      <w:sz w:val="24"/>
      <w:szCs w:val="24"/>
    </w:rPr>
  </w:style>
  <w:style w:styleId="style49" w:type="paragraph">
    <w:name w:val="rvps6"/>
    <w:basedOn w:val="style0"/>
    <w:next w:val="style49"/>
    <w:pPr>
      <w:spacing w:after="60" w:before="0" w:line="300" w:lineRule="atLeast"/>
      <w:contextualSpacing w:val="false"/>
      <w:jc w:val="both"/>
    </w:pPr>
    <w:rPr>
      <w:sz w:val="24"/>
      <w:szCs w:val="24"/>
    </w:rPr>
  </w:style>
  <w:style w:styleId="style50" w:type="paragraph">
    <w:name w:val="A BLOCK PARA"/>
    <w:basedOn w:val="style0"/>
    <w:next w:val="style50"/>
    <w:pPr/>
    <w:rPr>
      <w:rFonts w:ascii="Book Antiqua" w:hAnsi="Book Antiqua"/>
      <w:sz w:val="22"/>
    </w:rPr>
  </w:style>
  <w:style w:styleId="style51" w:type="paragraph">
    <w:name w:val="Balloon Text"/>
    <w:basedOn w:val="style0"/>
    <w:next w:val="style51"/>
    <w:pPr/>
    <w:rPr>
      <w:rFonts w:ascii="Tahoma" w:cs="Tahoma" w:hAnsi="Tahoma"/>
      <w:sz w:val="16"/>
      <w:szCs w:val="16"/>
    </w:rPr>
  </w:style>
  <w:style w:styleId="style52" w:type="paragraph">
    <w:name w:val="List Paragraph"/>
    <w:basedOn w:val="style0"/>
    <w:next w:val="style52"/>
    <w:pPr>
      <w:spacing w:after="0" w:before="0"/>
      <w:ind w:hanging="0" w:left="720" w:right="0"/>
      <w:contextualSpacing/>
    </w:pPr>
    <w:rPr/>
  </w:style>
  <w:style w:styleId="style53" w:type="paragraph">
    <w:name w:val="Plain Text"/>
    <w:basedOn w:val="style0"/>
    <w:next w:val="style53"/>
    <w:pPr/>
    <w:rPr>
      <w:rFonts w:ascii="Consolas" w:eastAsia="Calibri" w:hAnsi="Consolas"/>
      <w:sz w:val="21"/>
      <w:szCs w:val="21"/>
      <w:lang w:eastAsia="en-US"/>
    </w:rPr>
  </w:style>
  <w:style w:styleId="style54" w:type="paragraph">
    <w:name w:val="ecxmsolistparagraph"/>
    <w:basedOn w:val="style0"/>
    <w:next w:val="style54"/>
    <w:pPr>
      <w:spacing w:after="28" w:before="28"/>
      <w:contextualSpacing w:val="false"/>
    </w:pPr>
    <w:rPr>
      <w:rFonts w:eastAsia="Calibri"/>
      <w:sz w:val="24"/>
      <w:szCs w:val="24"/>
    </w:rPr>
  </w:style>
  <w:style w:styleId="style55" w:type="paragraph">
    <w:name w:val="Contenuto cornice"/>
    <w:basedOn w:val="style40"/>
    <w:next w:val="style55"/>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ff5DCSIIDAG@tesoro.it" TargetMode="External"/><Relationship Id="rId4" Type="http://schemas.openxmlformats.org/officeDocument/2006/relationships/hyperlink" Target="mailto:Uff5DCSIIDAG@tesoro.it"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2014-01-27T15:37:00.00Z</dcterms:created>
  <dc:creator>tiziana.tempesta</dc:creator>
  <cp:lastModifiedBy>Rori Silvia</cp:lastModifiedBy>
  <cp:lastPrinted>2012-03-07T09:51:00.00Z</cp:lastPrinted>
  <dcterms:modified xsi:type="dcterms:W3CDTF">2014-01-27T15:37:00.00Z</dcterms:modified>
  <cp:revision>2</cp:revision>
  <dc:title>Ministero dell’Economia e delle Finanze</dc:title>
</cp:coreProperties>
</file>